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1C1B19"/>
          <w:sz w:val="32"/>
          <w:szCs w:val="32"/>
        </w:rPr>
        <w:t xml:space="preserve">Lenk- und Ruhezeiten – Kurzübersicht</w:t>
      </w:r>
    </w:p>
    <w:p>
      <w:pPr>
        <w:spacing w:after="80" w:before="0"/>
      </w:pPr>
      <w:r>
        <w:rPr>
          <w:rFonts w:ascii="Arial" w:cs="Arial" w:eastAsia="Arial" w:hAnsi="Arial"/>
          <w:color w:val="6B675F"/>
          <w:sz w:val="17"/>
          <w:szCs w:val="17"/>
        </w:rPr>
        <w:t xml:space="preserve">Verordnung (EG) Nr. 561/2006, konsolidierte Fassung vom 31.12.2024</w:t>
      </w:r>
    </w:p>
    <w:p>
      <w:pPr>
        <w:keepNext/>
        <w:spacing w:after="60" w:before="160"/>
      </w:pPr>
      <w:r>
        <w:rPr>
          <w:rFonts w:ascii="Arial" w:cs="Arial" w:eastAsia="Arial" w:hAnsi="Arial"/>
          <w:b/>
          <w:bCs/>
          <w:caps/>
          <w:color w:val="1C1B19"/>
          <w:spacing w:val="16"/>
          <w:sz w:val="15"/>
          <w:szCs w:val="15"/>
        </w:rPr>
        <w:t xml:space="preserve">Die Regeln</w:t>
      </w:r>
    </w:p>
    <w:p>
      <w:pPr>
        <w:spacing w:after="90" w:before="0" w:line="264"/>
      </w:pPr>
      <w:r>
        <w:rPr>
          <w:rFonts w:ascii="Arial" w:cs="Arial" w:eastAsia="Arial" w:hAnsi="Arial"/>
          <w:b/>
          <w:bCs/>
          <w:color w:val="C8A96A"/>
          <w:sz w:val="17"/>
          <w:szCs w:val="17"/>
        </w:rPr>
        <w:t xml:space="preserve">01   </w:t>
      </w:r>
      <w:r>
        <w:rPr>
          <w:rFonts w:ascii="Arial" w:cs="Arial" w:eastAsia="Arial" w:hAnsi="Arial"/>
          <w:color w:val="1C1B19"/>
          <w:sz w:val="17"/>
          <w:szCs w:val="17"/>
        </w:rPr>
        <w:t xml:space="preserve">Die tägliche Lenkzeit darf 9 Stunden nicht überschreiten; höchstens zweimal in der Woche darf sie auf höchstens 10 Stunden verlängert werden (Art. 6 Abs. 1). Die Woche läuft von Montag 0 Uhr bis Sonntag 24 Uhr (Art. 4 Buchst. i).</w:t>
      </w:r>
    </w:p>
    <w:p>
      <w:pPr>
        <w:spacing w:after="90" w:before="0" w:line="264"/>
      </w:pPr>
      <w:r>
        <w:rPr>
          <w:rFonts w:ascii="Arial" w:cs="Arial" w:eastAsia="Arial" w:hAnsi="Arial"/>
          <w:b/>
          <w:bCs/>
          <w:color w:val="C8A96A"/>
          <w:sz w:val="17"/>
          <w:szCs w:val="17"/>
        </w:rPr>
        <w:t xml:space="preserve">02   </w:t>
      </w:r>
      <w:r>
        <w:rPr>
          <w:rFonts w:ascii="Arial" w:cs="Arial" w:eastAsia="Arial" w:hAnsi="Arial"/>
          <w:color w:val="1C1B19"/>
          <w:sz w:val="17"/>
          <w:szCs w:val="17"/>
        </w:rPr>
        <w:t xml:space="preserve">Die wöchentliche Lenkzeit darf 56 Stunden nicht überschreiten, zwei aufeinanderfolgende Wochen zusammen nicht 90 Stunden (Art. 6 Abs. 2 und 3).</w:t>
      </w:r>
    </w:p>
    <w:p>
      <w:pPr>
        <w:spacing w:after="90" w:before="0" w:line="264"/>
      </w:pPr>
      <w:r>
        <w:rPr>
          <w:rFonts w:ascii="Arial" w:cs="Arial" w:eastAsia="Arial" w:hAnsi="Arial"/>
          <w:b/>
          <w:bCs/>
          <w:color w:val="C8A96A"/>
          <w:sz w:val="17"/>
          <w:szCs w:val="17"/>
        </w:rPr>
        <w:t xml:space="preserve">03   </w:t>
      </w:r>
      <w:r>
        <w:rPr>
          <w:rFonts w:ascii="Arial" w:cs="Arial" w:eastAsia="Arial" w:hAnsi="Arial"/>
          <w:color w:val="1C1B19"/>
          <w:sz w:val="17"/>
          <w:szCs w:val="17"/>
        </w:rPr>
        <w:t xml:space="preserve">Nach viereinhalb Stunden Lenkzeit ist eine Fahrtunterbrechung von mindestens 45 Minuten einzulegen. Sie kann durch mindestens 15 Minuten, gefolgt von mindestens 30 Minuten, ersetzt werden (Art. 7).</w:t>
      </w:r>
    </w:p>
    <w:p>
      <w:pPr>
        <w:spacing w:after="90" w:before="0" w:line="264"/>
      </w:pPr>
      <w:r>
        <w:rPr>
          <w:rFonts w:ascii="Arial" w:cs="Arial" w:eastAsia="Arial" w:hAnsi="Arial"/>
          <w:b/>
          <w:bCs/>
          <w:color w:val="C8A96A"/>
          <w:sz w:val="17"/>
          <w:szCs w:val="17"/>
        </w:rPr>
        <w:t xml:space="preserve">04   </w:t>
      </w:r>
      <w:r>
        <w:rPr>
          <w:rFonts w:ascii="Arial" w:cs="Arial" w:eastAsia="Arial" w:hAnsi="Arial"/>
          <w:color w:val="1C1B19"/>
          <w:sz w:val="17"/>
          <w:szCs w:val="17"/>
        </w:rPr>
        <w:t xml:space="preserve">Die regelmäßige tägliche Ruhezeit beträgt mindestens 11 Stunden, auch in zwei Teilen von mindestens 3 und danach mindestens 9 Stunden; eine reduzierte tägliche Ruhezeit mindestens 9 Stunden (Art. 4 Buchst. g). Innerhalb von 24 Stunden nach dem Ende der letzten Ruhezeit muss eine neue tägliche Ruhezeit genommen sein (Art. 8 Abs. 2).</w:t>
      </w:r>
    </w:p>
    <w:p>
      <w:pPr>
        <w:spacing w:after="90" w:before="0" w:line="264"/>
      </w:pPr>
      <w:r>
        <w:rPr>
          <w:rFonts w:ascii="Arial" w:cs="Arial" w:eastAsia="Arial" w:hAnsi="Arial"/>
          <w:b/>
          <w:bCs/>
          <w:color w:val="C8A96A"/>
          <w:sz w:val="17"/>
          <w:szCs w:val="17"/>
        </w:rPr>
        <w:t xml:space="preserve">05   </w:t>
      </w:r>
      <w:r>
        <w:rPr>
          <w:rFonts w:ascii="Arial" w:cs="Arial" w:eastAsia="Arial" w:hAnsi="Arial"/>
          <w:color w:val="1C1B19"/>
          <w:sz w:val="17"/>
          <w:szCs w:val="17"/>
        </w:rPr>
        <w:t xml:space="preserve">Zwischen zwei wöchentlichen Ruhezeiten sind höchstens drei reduzierte tägliche Ruhezeiten erlaubt (Art. 8 Abs. 4).</w:t>
      </w:r>
    </w:p>
    <w:p>
      <w:pPr>
        <w:spacing w:after="90" w:before="0" w:line="264"/>
      </w:pPr>
      <w:r>
        <w:rPr>
          <w:rFonts w:ascii="Arial" w:cs="Arial" w:eastAsia="Arial" w:hAnsi="Arial"/>
          <w:b/>
          <w:bCs/>
          <w:color w:val="C8A96A"/>
          <w:sz w:val="17"/>
          <w:szCs w:val="17"/>
        </w:rPr>
        <w:t xml:space="preserve">06   </w:t>
      </w:r>
      <w:r>
        <w:rPr>
          <w:rFonts w:ascii="Arial" w:cs="Arial" w:eastAsia="Arial" w:hAnsi="Arial"/>
          <w:color w:val="1C1B19"/>
          <w:sz w:val="17"/>
          <w:szCs w:val="17"/>
        </w:rPr>
        <w:t xml:space="preserve">Die regelmäßige wöchentliche Ruhezeit beträgt mindestens 45 Stunden, eine reduzierte mindestens 24 Stunden. In zwei aufeinanderfolgenden Wochen sind zwei regelmäßige oder eine regelmäßige und eine reduzierte einzuhalten; eine Reduzierung wird bis zum Ende der dritten Folgewoche am Stück ausgeglichen (Art. 4 Buchst. h, Art. 8 Abs. 6 und 6b).</w:t>
      </w:r>
    </w:p>
    <w:p>
      <w:pPr>
        <w:spacing w:after="90" w:before="0" w:line="264"/>
      </w:pPr>
      <w:r>
        <w:rPr>
          <w:rFonts w:ascii="Arial" w:cs="Arial" w:eastAsia="Arial" w:hAnsi="Arial"/>
          <w:b/>
          <w:bCs/>
          <w:color w:val="C8A96A"/>
          <w:sz w:val="17"/>
          <w:szCs w:val="17"/>
        </w:rPr>
        <w:t xml:space="preserve">07   </w:t>
      </w:r>
      <w:r>
        <w:rPr>
          <w:rFonts w:ascii="Arial" w:cs="Arial" w:eastAsia="Arial" w:hAnsi="Arial"/>
          <w:color w:val="1C1B19"/>
          <w:sz w:val="17"/>
          <w:szCs w:val="17"/>
        </w:rPr>
        <w:t xml:space="preserve">Eine wöchentliche Ruhezeit beginnt spätestens am Ende von sechs 24-Stunden-Zeiträumen nach dem Ende der vorangegangenen (Art. 8 Abs. 6).</w:t>
      </w:r>
    </w:p>
    <w:p>
      <w:pPr>
        <w:spacing w:after="90" w:before="0" w:line="264"/>
      </w:pPr>
      <w:r>
        <w:rPr>
          <w:rFonts w:ascii="Arial" w:cs="Arial" w:eastAsia="Arial" w:hAnsi="Arial"/>
          <w:b/>
          <w:bCs/>
          <w:color w:val="C8A96A"/>
          <w:sz w:val="17"/>
          <w:szCs w:val="17"/>
        </w:rPr>
        <w:t xml:space="preserve">08   </w:t>
      </w:r>
      <w:r>
        <w:rPr>
          <w:rFonts w:ascii="Arial" w:cs="Arial" w:eastAsia="Arial" w:hAnsi="Arial"/>
          <w:color w:val="1C1B19"/>
          <w:sz w:val="17"/>
          <w:szCs w:val="17"/>
        </w:rPr>
        <w:t xml:space="preserve">Die Verordnung gilt für die Güterbeförderung mit Fahrzeugen über 3,5 t zulässiger Höchstmasse einschließlich Anhänger, seit 1. Juli 2026 auch für grenzüberschreitende Güterbeförderungen und Kabotage über 2,5 t, und für die Personenbeförderung mit Fahrzeugen für mehr als neun Personen einschließlich Fahrer (Art. 2 Abs. 1). Artikel 3 nennt Ausnahmen.</w:t>
      </w:r>
    </w:p>
    <w:p>
      <w:pPr>
        <w:spacing w:after="60" w:before="0"/>
      </w:pPr>
      <w:r>
        <w:rPr>
          <w:rFonts w:ascii="Arial" w:cs="Arial" w:eastAsia="Arial" w:hAnsi="Arial"/>
          <w:color w:val="6B675F"/>
          <w:sz w:val="13"/>
          <w:szCs w:val="13"/>
        </w:rPr>
        <w:t xml:space="preserve">Quelle: EUR-Lex · VO (EG) Nr. 561/2006, konsolidierte Fassung vom 31.12.2024 · Stand 03.10.2026</w:t>
      </w:r>
    </w:p>
    <w:tbl>
      <w:tblPr>
        <w:tblW w:type="dxa" w:w="102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26"/>
      </w:tblGrid>
      <w:tr>
        <w:tc>
          <w:tcPr>
            <w:tcW w:type="dxa" w:w="10226"/>
            <w:tcBorders>
              <w:top w:val="none" w:color="FFFFFF" w:sz="0"/>
              <w:left w:val="none" w:color="FFFFFF" w:sz="0"/>
              <w:bottom w:val="none" w:color="FFFFFF" w:sz="0"/>
              <w:right w:val="none" w:color="FFFFFF" w:sz="0"/>
            </w:tcBorders>
            <w:shd w:fill="F3F0E9" w:color="auto" w:val="clear"/>
            <w:tcMar>
              <w:top w:type="dxa" w:w="50"/>
              <w:left w:type="dxa" w:w="80"/>
              <w:bottom w:type="dxa" w:w="40"/>
              <w:right w:type="dxa" w:w="80"/>
            </w:tcMar>
            <w:vAlign w:val="top"/>
          </w:tcPr>
          <w:p>
            <w:pPr>
              <w:spacing w:after="60" w:before="0"/>
            </w:pPr>
            <w:r>
              <w:rPr>
                <w:rFonts w:ascii="Arial" w:cs="Arial" w:eastAsia="Arial" w:hAnsi="Arial"/>
                <w:b/>
                <w:bCs/>
                <w:caps/>
                <w:color w:val="1C1B19"/>
                <w:spacing w:val="16"/>
                <w:sz w:val="15"/>
                <w:szCs w:val="15"/>
              </w:rPr>
              <w:t xml:space="preserve">Nicht enthalten</w:t>
            </w:r>
          </w:p>
          <w:p>
            <w:pPr>
              <w:spacing w:after="30" w:before="0"/>
            </w:pPr>
            <w:r>
              <w:rPr>
                <w:rFonts w:ascii="Arial" w:cs="Arial" w:eastAsia="Arial" w:hAnsi="Arial"/>
                <w:color w:val="1C1B19"/>
                <w:sz w:val="15"/>
                <w:szCs w:val="15"/>
              </w:rPr>
              <w:t xml:space="preserve">•  </w:t>
            </w:r>
            <w:r>
              <w:rPr>
                <w:rFonts w:ascii="Arial" w:cs="Arial" w:eastAsia="Arial" w:hAnsi="Arial"/>
                <w:color w:val="1C1B19"/>
                <w:sz w:val="15"/>
                <w:szCs w:val="15"/>
              </w:rPr>
              <w:t xml:space="preserve">Mehrfahrerbetrieb (Art. 7, Art. 8 Abs. 5), Fähre und Zug (Art. 9).</w:t>
            </w:r>
          </w:p>
          <w:p>
            <w:pPr>
              <w:spacing w:after="30" w:before="0"/>
            </w:pPr>
            <w:r>
              <w:rPr>
                <w:rFonts w:ascii="Arial" w:cs="Arial" w:eastAsia="Arial" w:hAnsi="Arial"/>
                <w:color w:val="1C1B19"/>
                <w:sz w:val="15"/>
                <w:szCs w:val="15"/>
              </w:rPr>
              <w:t xml:space="preserve">•  </w:t>
            </w:r>
            <w:r>
              <w:rPr>
                <w:rFonts w:ascii="Arial" w:cs="Arial" w:eastAsia="Arial" w:hAnsi="Arial"/>
                <w:color w:val="1C1B19"/>
                <w:sz w:val="15"/>
                <w:szCs w:val="15"/>
              </w:rPr>
              <w:t xml:space="preserve">Sonderregeln für den Personengelegenheitsverkehr (Art. 7, Art. 8 Abs. 2a und 6a).</w:t>
            </w:r>
          </w:p>
          <w:p>
            <w:pPr>
              <w:spacing w:after="30" w:before="0"/>
            </w:pPr>
            <w:r>
              <w:rPr>
                <w:rFonts w:ascii="Arial" w:cs="Arial" w:eastAsia="Arial" w:hAnsi="Arial"/>
                <w:color w:val="1C1B19"/>
                <w:sz w:val="15"/>
                <w:szCs w:val="15"/>
              </w:rPr>
              <w:t xml:space="preserve">•  </w:t>
            </w:r>
            <w:r>
              <w:rPr>
                <w:rFonts w:ascii="Arial" w:cs="Arial" w:eastAsia="Arial" w:hAnsi="Arial"/>
                <w:color w:val="1C1B19"/>
                <w:sz w:val="15"/>
                <w:szCs w:val="15"/>
              </w:rPr>
              <w:t xml:space="preserve">Zwei aufeinanderfolgende reduzierte wöchentliche Ruhezeiten im grenzüberschreitenden Güterverkehr (Art. 8 Abs. 6).</w:t>
            </w:r>
          </w:p>
          <w:p>
            <w:pPr>
              <w:spacing w:after="30" w:before="0"/>
            </w:pPr>
            <w:r>
              <w:rPr>
                <w:rFonts w:ascii="Arial" w:cs="Arial" w:eastAsia="Arial" w:hAnsi="Arial"/>
                <w:color w:val="1C1B19"/>
                <w:sz w:val="15"/>
                <w:szCs w:val="15"/>
              </w:rPr>
              <w:t xml:space="preserve">•  </w:t>
            </w:r>
            <w:r>
              <w:rPr>
                <w:rFonts w:ascii="Arial" w:cs="Arial" w:eastAsia="Arial" w:hAnsi="Arial"/>
                <w:color w:val="1C1B19"/>
                <w:sz w:val="15"/>
                <w:szCs w:val="15"/>
              </w:rPr>
              <w:t xml:space="preserve">Abweichungen nach Art. 12, Ausnahmen nach Art. 3 und 13, Arbeitszeitgesetze.</w:t>
            </w:r>
          </w:p>
          <w:p>
            <w:pPr>
              <w:spacing w:after="30" w:before="0"/>
            </w:pPr>
            <w:r>
              <w:rPr>
                <w:rFonts w:ascii="Arial" w:cs="Arial" w:eastAsia="Arial" w:hAnsi="Arial"/>
                <w:color w:val="1C1B19"/>
                <w:sz w:val="15"/>
                <w:szCs w:val="15"/>
              </w:rPr>
              <w:t xml:space="preserve">•  </w:t>
            </w:r>
            <w:r>
              <w:rPr>
                <w:rFonts w:ascii="Arial" w:cs="Arial" w:eastAsia="Arial" w:hAnsi="Arial"/>
                <w:color w:val="1C1B19"/>
                <w:sz w:val="15"/>
                <w:szCs w:val="15"/>
              </w:rPr>
              <w:t xml:space="preserve">Maßgeblich sind die Aufzeichnungen des Fahrtenschreibers und der Text der Verordnung.</w:t>
            </w:r>
          </w:p>
        </w:tc>
      </w:tr>
    </w:tbl>
    <w:p>
      <w:pPr>
        <w:spacing w:after="60" w:before="0"/>
      </w:pPr>
      <w:r>
        <w:rPr>
          <w:rFonts w:ascii="Arial" w:cs="Arial" w:eastAsia="Arial" w:hAnsi="Arial"/>
          <w:color w:val="1C1B19"/>
          <w:sz w:val="17"/>
          <w:szCs w:val="17"/>
        </w:rPr>
        <w:t xml:space="preserve"/>
      </w:r>
    </w:p>
    <w:p>
      <w:pPr>
        <w:keepNext/>
        <w:spacing w:after="60" w:before="160"/>
      </w:pPr>
      <w:r>
        <w:rPr>
          <w:rFonts w:ascii="Arial" w:cs="Arial" w:eastAsia="Arial" w:hAnsi="Arial"/>
          <w:b/>
          <w:bCs/>
          <w:caps/>
          <w:color w:val="1C1B19"/>
          <w:spacing w:val="16"/>
          <w:sz w:val="15"/>
          <w:szCs w:val="15"/>
        </w:rPr>
        <w:t xml:space="preserve">Hinweise des Unternehmens</w:t>
      </w:r>
    </w:p>
    <w:tbl>
      <w:tblPr>
        <w:tblW w:type="dxa" w:w="102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6"/>
      </w:tblGrid>
      <w:tr>
        <w:trPr>
          <w:trHeight w:val="400" w:hRule="atLeast"/>
        </w:trPr>
        <w:tc>
          <w:tcPr>
            <w:tcW w:type="dxa" w:w="10226"/>
            <w:tcBorders>
              <w:top w:val="none" w:color="FFFFFF" w:sz="0"/>
              <w:left w:val="none" w:color="FFFFFF" w:sz="0"/>
              <w:bottom w:val="single" w:color="B9B3A8" w:sz="4"/>
              <w:right w:val="none" w:color="FFFFFF" w:sz="0"/>
            </w:tcBorders>
            <w:tcMar>
              <w:top w:type="dxa" w:w="50"/>
              <w:left w:type="dxa" w:w="80"/>
              <w:bottom w:type="dxa" w:w="40"/>
              <w:right w:type="dxa" w:w="80"/>
            </w:tcMar>
            <w:vAlign w:val="top"/>
          </w:tcPr>
          <w:p>
            <w:pPr>
              <w:spacing w:after="0" w:before="0"/>
            </w:pPr>
            <w:r>
              <w:rPr>
                <w:rFonts w:ascii="Arial" w:cs="Arial" w:eastAsia="Arial" w:hAnsi="Arial"/>
                <w:color w:val="1C1B19"/>
                <w:sz w:val="17"/>
                <w:szCs w:val="17"/>
              </w:rPr>
              <w:t xml:space="preserve"/>
            </w:r>
          </w:p>
        </w:tc>
      </w:tr>
      <w:tr>
        <w:trPr>
          <w:trHeight w:val="400" w:hRule="atLeast"/>
        </w:trPr>
        <w:tc>
          <w:tcPr>
            <w:tcW w:type="dxa" w:w="10226"/>
            <w:tcBorders>
              <w:top w:val="none" w:color="FFFFFF" w:sz="0"/>
              <w:left w:val="none" w:color="FFFFFF" w:sz="0"/>
              <w:bottom w:val="single" w:color="B9B3A8" w:sz="4"/>
              <w:right w:val="none" w:color="FFFFFF" w:sz="0"/>
            </w:tcBorders>
            <w:tcMar>
              <w:top w:type="dxa" w:w="50"/>
              <w:left w:type="dxa" w:w="80"/>
              <w:bottom w:type="dxa" w:w="40"/>
              <w:right w:type="dxa" w:w="80"/>
            </w:tcMar>
            <w:vAlign w:val="top"/>
          </w:tcPr>
          <w:p>
            <w:pPr>
              <w:spacing w:after="0" w:before="0"/>
            </w:pPr>
            <w:r>
              <w:rPr>
                <w:rFonts w:ascii="Arial" w:cs="Arial" w:eastAsia="Arial" w:hAnsi="Arial"/>
                <w:color w:val="1C1B19"/>
                <w:sz w:val="17"/>
                <w:szCs w:val="17"/>
              </w:rPr>
              <w:t xml:space="preserve"/>
            </w:r>
          </w:p>
        </w:tc>
      </w:tr>
      <w:tr>
        <w:trPr>
          <w:trHeight w:val="400" w:hRule="atLeast"/>
        </w:trPr>
        <w:tc>
          <w:tcPr>
            <w:tcW w:type="dxa" w:w="10226"/>
            <w:tcBorders>
              <w:top w:val="none" w:color="FFFFFF" w:sz="0"/>
              <w:left w:val="none" w:color="FFFFFF" w:sz="0"/>
              <w:bottom w:val="single" w:color="B9B3A8" w:sz="4"/>
              <w:right w:val="none" w:color="FFFFFF" w:sz="0"/>
            </w:tcBorders>
            <w:tcMar>
              <w:top w:type="dxa" w:w="50"/>
              <w:left w:type="dxa" w:w="80"/>
              <w:bottom w:type="dxa" w:w="40"/>
              <w:right w:type="dxa" w:w="80"/>
            </w:tcMar>
            <w:vAlign w:val="top"/>
          </w:tcPr>
          <w:p>
            <w:pPr>
              <w:spacing w:after="0" w:before="0"/>
            </w:pPr>
            <w:r>
              <w:rPr>
                <w:rFonts w:ascii="Arial" w:cs="Arial" w:eastAsia="Arial" w:hAnsi="Arial"/>
                <w:color w:val="1C1B19"/>
                <w:sz w:val="17"/>
                <w:szCs w:val="17"/>
              </w:rPr>
              <w:t xml:space="preserve"/>
            </w:r>
          </w:p>
        </w:tc>
      </w:tr>
      <w:tr>
        <w:trPr>
          <w:trHeight w:val="400" w:hRule="atLeast"/>
        </w:trPr>
        <w:tc>
          <w:tcPr>
            <w:tcW w:type="dxa" w:w="10226"/>
            <w:tcBorders>
              <w:top w:val="none" w:color="FFFFFF" w:sz="0"/>
              <w:left w:val="none" w:color="FFFFFF" w:sz="0"/>
              <w:bottom w:val="single" w:color="B9B3A8" w:sz="4"/>
              <w:right w:val="none" w:color="FFFFFF" w:sz="0"/>
            </w:tcBorders>
            <w:tcMar>
              <w:top w:type="dxa" w:w="50"/>
              <w:left w:type="dxa" w:w="80"/>
              <w:bottom w:type="dxa" w:w="40"/>
              <w:right w:type="dxa" w:w="80"/>
            </w:tcMar>
            <w:vAlign w:val="top"/>
          </w:tcPr>
          <w:p>
            <w:pPr>
              <w:spacing w:after="0" w:before="0"/>
            </w:pPr>
            <w:r>
              <w:rPr>
                <w:rFonts w:ascii="Arial" w:cs="Arial" w:eastAsia="Arial" w:hAnsi="Arial"/>
                <w:color w:val="1C1B19"/>
                <w:sz w:val="17"/>
                <w:szCs w:val="17"/>
              </w:rPr>
              <w:t xml:space="preserve"/>
            </w:r>
          </w:p>
        </w:tc>
      </w:tr>
    </w:tbl>
    <w:sectPr>
      <w:headerReference w:type="default" r:id="rId6"/>
      <w:footerReference w:type="default" r:id="rId7"/>
      <w:pgSz w:w="11906" w:h="16838" w:orient="portrait"/>
      <w:pgMar w:top="1000" w:right="840" w:bottom="880" w:left="840" w:header="500" w:footer="44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usszeile"/>
      <w:pBdr>
        <w:top w:val="single" w:color="B9B3A8" w:sz="4" w:space="4"/>
      </w:pBdr>
      <w:tabs>
        <w:tab w:val="right" w:pos="10226"/>
      </w:tabs>
    </w:pPr>
    <w:r>
      <w:t xml:space="preserve">galzura.com/de/vorlagen · Stand 03.10.2026 · Vorlage dient als Muster; keine Rechtsberatung.</w:t>
    </w:r>
    <w: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8A96A" w:sz="6" w:space="6"/>
      </w:pBdr>
      <w:spacing w:after="0" w:before="0"/>
    </w:pPr>
    <w:r>
      <w:drawing>
        <wp:inline distT="0" distB="0" distL="0" distR="0">
          <wp:extent cx="1171575" cy="123825"/>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71575" cy="123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7"/>
        <w:szCs w:val="17"/>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usszeile">
    <w:name w:val="Fusszeile"/>
    <w:basedOn w:val="Normal"/>
    <w:rPr>
      <w:rFonts w:ascii="Arial" w:cs="Arial" w:eastAsia="Arial" w:hAnsi="Arial"/>
      <w:color w:val="6B675F"/>
      <w:sz w:val="13"/>
      <w:szCs w:val="1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536aa60d276bf99215e544670707f0252be020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Lenk- und Ruhezeiten – Kurzübersicht</dc:title>
  <dc:creator>Galzura</dc:creator>
  <cp:keywords>Vorlage, Lenk- und Ruhezeiten-Karte, Fuhrpark</cp:keywords>
  <dc:description>Verordnung (EG) Nr. 561/2006, konsolidierte Fassung vom 31.12.2024</dc:description>
  <cp:lastModifiedBy>Un-named</cp:lastModifiedBy>
  <cp:revision>1</cp:revision>
  <dcterms:created xsi:type="dcterms:W3CDTF">2026-10-02T23:13:58.640Z</dcterms:created>
  <dcterms:modified xsi:type="dcterms:W3CDTF">2026-10-02T23:13:58.640Z</dcterms:modified>
</cp:coreProperties>
</file>

<file path=docProps/custom.xml><?xml version="1.0" encoding="utf-8"?>
<Properties xmlns="http://schemas.openxmlformats.org/officeDocument/2006/custom-properties" xmlns:vt="http://schemas.openxmlformats.org/officeDocument/2006/docPropsVTypes"/>
</file>